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3D" w:rsidRDefault="00C9453D" w:rsidP="00790973">
      <w:pPr>
        <w:pStyle w:val="Nzev"/>
        <w:rPr>
          <w:sz w:val="36"/>
          <w:szCs w:val="36"/>
        </w:rPr>
      </w:pPr>
    </w:p>
    <w:p w:rsidR="00C9453D" w:rsidRDefault="00C9453D" w:rsidP="00790973">
      <w:pPr>
        <w:pStyle w:val="Nzev"/>
        <w:rPr>
          <w:sz w:val="36"/>
          <w:szCs w:val="36"/>
        </w:rPr>
      </w:pPr>
    </w:p>
    <w:p w:rsidR="00C30D59" w:rsidRPr="00790973" w:rsidRDefault="00C9453D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990139" wp14:editId="11D0AE5E">
            <wp:simplePos x="0" y="0"/>
            <wp:positionH relativeFrom="column">
              <wp:posOffset>1743075</wp:posOffset>
            </wp:positionH>
            <wp:positionV relativeFrom="paragraph">
              <wp:posOffset>-1089025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C9453D" w:rsidRDefault="00C9453D" w:rsidP="00790973">
      <w:pPr>
        <w:pStyle w:val="Nzev"/>
        <w:spacing w:after="720"/>
        <w:rPr>
          <w:color w:val="FF0000"/>
          <w:sz w:val="36"/>
          <w:szCs w:val="36"/>
        </w:rPr>
      </w:pPr>
      <w:r>
        <w:rPr>
          <w:sz w:val="32"/>
          <w:szCs w:val="32"/>
        </w:rPr>
        <w:t xml:space="preserve">Výměna 2 kusů hlavních jističů </w:t>
      </w:r>
      <w:proofErr w:type="spellStart"/>
      <w:r>
        <w:rPr>
          <w:sz w:val="32"/>
          <w:szCs w:val="32"/>
        </w:rPr>
        <w:t>obj</w:t>
      </w:r>
      <w:proofErr w:type="spellEnd"/>
      <w:r>
        <w:rPr>
          <w:sz w:val="32"/>
          <w:szCs w:val="32"/>
        </w:rPr>
        <w:t>.</w:t>
      </w:r>
      <w:r w:rsidRPr="004C2507">
        <w:rPr>
          <w:sz w:val="32"/>
          <w:szCs w:val="32"/>
        </w:rPr>
        <w:t xml:space="preserve"> 221</w:t>
      </w:r>
      <w:r>
        <w:rPr>
          <w:sz w:val="32"/>
          <w:szCs w:val="32"/>
        </w:rPr>
        <w:t>, sklad Včelná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1B28C5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1B28C5">
        <w:t xml:space="preserve"> (bez oprávnění k jejím změnám)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AD47E0" w:rsidRPr="009A21C7" w:rsidTr="00BB3D85">
        <w:tc>
          <w:tcPr>
            <w:tcW w:w="2660" w:type="dxa"/>
            <w:vAlign w:val="center"/>
          </w:tcPr>
          <w:p w:rsidR="00AD47E0" w:rsidRPr="009A0F9B" w:rsidRDefault="001B28C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AD47E0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</w:p>
        </w:tc>
        <w:tc>
          <w:tcPr>
            <w:tcW w:w="2410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Petr Stára</w:t>
            </w:r>
          </w:p>
        </w:tc>
        <w:tc>
          <w:tcPr>
            <w:tcW w:w="1839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602 205 947</w:t>
            </w:r>
          </w:p>
        </w:tc>
        <w:tc>
          <w:tcPr>
            <w:tcW w:w="2303" w:type="dxa"/>
          </w:tcPr>
          <w:p w:rsidR="00AD47E0" w:rsidRPr="00B42079" w:rsidRDefault="001A7D61" w:rsidP="004B4B6B">
            <w:pPr>
              <w:rPr>
                <w:sz w:val="16"/>
                <w:szCs w:val="16"/>
              </w:rPr>
            </w:pPr>
            <w:hyperlink r:id="rId9" w:history="1">
              <w:r w:rsidR="00AD47E0" w:rsidRPr="00B42079">
                <w:rPr>
                  <w:rStyle w:val="Hypertextovodkaz"/>
                  <w:sz w:val="16"/>
                  <w:szCs w:val="16"/>
                </w:rPr>
                <w:t>petr.stara@ceproas.cz</w:t>
              </w:r>
            </w:hyperlink>
          </w:p>
        </w:tc>
      </w:tr>
      <w:tr w:rsidR="00AD47E0" w:rsidRPr="009A21C7" w:rsidTr="00BB3D85">
        <w:tc>
          <w:tcPr>
            <w:tcW w:w="2660" w:type="dxa"/>
            <w:vAlign w:val="center"/>
          </w:tcPr>
          <w:p w:rsidR="00AD47E0" w:rsidRPr="009A0F9B" w:rsidRDefault="00AD47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Petr Stára</w:t>
            </w:r>
          </w:p>
        </w:tc>
        <w:tc>
          <w:tcPr>
            <w:tcW w:w="1839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602 205 947</w:t>
            </w:r>
          </w:p>
        </w:tc>
        <w:tc>
          <w:tcPr>
            <w:tcW w:w="2303" w:type="dxa"/>
          </w:tcPr>
          <w:p w:rsidR="00AD47E0" w:rsidRPr="00B42079" w:rsidRDefault="001A7D61" w:rsidP="004B4B6B">
            <w:pPr>
              <w:rPr>
                <w:sz w:val="16"/>
                <w:szCs w:val="16"/>
              </w:rPr>
            </w:pPr>
            <w:hyperlink r:id="rId10" w:history="1">
              <w:r w:rsidR="00AD47E0" w:rsidRPr="00B42079">
                <w:rPr>
                  <w:rStyle w:val="Hypertextovodkaz"/>
                  <w:sz w:val="16"/>
                  <w:szCs w:val="16"/>
                </w:rPr>
                <w:t>petr.stara@ceproas.cz</w:t>
              </w:r>
            </w:hyperlink>
          </w:p>
        </w:tc>
      </w:tr>
      <w:tr w:rsidR="00AD47E0" w:rsidRPr="009A21C7" w:rsidTr="00BB3D85">
        <w:tc>
          <w:tcPr>
            <w:tcW w:w="2660" w:type="dxa"/>
            <w:vAlign w:val="center"/>
          </w:tcPr>
          <w:p w:rsidR="00AD47E0" w:rsidRPr="009A0F9B" w:rsidRDefault="00AD47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Petr Stára</w:t>
            </w:r>
          </w:p>
        </w:tc>
        <w:tc>
          <w:tcPr>
            <w:tcW w:w="1839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602 205 947</w:t>
            </w:r>
          </w:p>
        </w:tc>
        <w:tc>
          <w:tcPr>
            <w:tcW w:w="2303" w:type="dxa"/>
          </w:tcPr>
          <w:p w:rsidR="00AD47E0" w:rsidRPr="00B42079" w:rsidRDefault="001A7D61" w:rsidP="004B4B6B">
            <w:pPr>
              <w:rPr>
                <w:sz w:val="16"/>
                <w:szCs w:val="16"/>
              </w:rPr>
            </w:pPr>
            <w:hyperlink r:id="rId11" w:history="1">
              <w:r w:rsidR="00AD47E0" w:rsidRPr="00B42079">
                <w:rPr>
                  <w:rStyle w:val="Hypertextovodkaz"/>
                  <w:sz w:val="16"/>
                  <w:szCs w:val="16"/>
                </w:rPr>
                <w:t>petr.stara@ceproas.cz</w:t>
              </w:r>
            </w:hyperlink>
          </w:p>
        </w:tc>
      </w:tr>
      <w:tr w:rsidR="00AD47E0" w:rsidRPr="009A21C7" w:rsidTr="00BB3D85">
        <w:tc>
          <w:tcPr>
            <w:tcW w:w="2660" w:type="dxa"/>
            <w:vAlign w:val="center"/>
          </w:tcPr>
          <w:p w:rsidR="00AD47E0" w:rsidRPr="009A0F9B" w:rsidRDefault="00AD47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Petr Stára</w:t>
            </w:r>
          </w:p>
        </w:tc>
        <w:tc>
          <w:tcPr>
            <w:tcW w:w="1839" w:type="dxa"/>
          </w:tcPr>
          <w:p w:rsidR="00AD47E0" w:rsidRPr="00B42079" w:rsidRDefault="00AD47E0" w:rsidP="004B4B6B">
            <w:pPr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602 205 947</w:t>
            </w:r>
          </w:p>
        </w:tc>
        <w:tc>
          <w:tcPr>
            <w:tcW w:w="2303" w:type="dxa"/>
          </w:tcPr>
          <w:p w:rsidR="00AD47E0" w:rsidRPr="00B42079" w:rsidRDefault="001A7D61" w:rsidP="004B4B6B">
            <w:pPr>
              <w:rPr>
                <w:sz w:val="16"/>
                <w:szCs w:val="16"/>
              </w:rPr>
            </w:pPr>
            <w:hyperlink r:id="rId12" w:history="1">
              <w:r w:rsidR="00AD47E0" w:rsidRPr="00B42079">
                <w:rPr>
                  <w:rStyle w:val="Hypertextovodkaz"/>
                  <w:sz w:val="16"/>
                  <w:szCs w:val="16"/>
                </w:rPr>
                <w:t>petr.stara@ceproas.cz</w:t>
              </w:r>
            </w:hyperlink>
          </w:p>
        </w:tc>
      </w:tr>
      <w:tr w:rsidR="00AD47E0" w:rsidRPr="009A21C7" w:rsidTr="009A0F9B">
        <w:tc>
          <w:tcPr>
            <w:tcW w:w="2660" w:type="dxa"/>
            <w:vAlign w:val="center"/>
          </w:tcPr>
          <w:p w:rsidR="00AD47E0" w:rsidRPr="009A0F9B" w:rsidRDefault="00AD47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AD47E0" w:rsidRPr="00B42079" w:rsidRDefault="00AD47E0" w:rsidP="004B4B6B">
            <w:pPr>
              <w:jc w:val="left"/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AD47E0" w:rsidRPr="00B42079" w:rsidRDefault="00AD47E0" w:rsidP="004B4B6B">
            <w:pPr>
              <w:jc w:val="left"/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739 240 717</w:t>
            </w:r>
          </w:p>
        </w:tc>
        <w:tc>
          <w:tcPr>
            <w:tcW w:w="2303" w:type="dxa"/>
            <w:vAlign w:val="center"/>
          </w:tcPr>
          <w:p w:rsidR="00AD47E0" w:rsidRPr="00B42079" w:rsidRDefault="00AD47E0" w:rsidP="004B4B6B">
            <w:pPr>
              <w:jc w:val="left"/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Vaclav.koukolik@ceproas.cz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1B28C5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1B28C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45184E" w:rsidRDefault="00B20BE0" w:rsidP="00E55396">
      <w:pPr>
        <w:pStyle w:val="Odstavec2"/>
      </w:pPr>
      <w:r w:rsidRPr="0045184E">
        <w:t>Předmětem této Smlouvy je realizace díla „</w:t>
      </w:r>
      <w:r w:rsidR="00E55396" w:rsidRPr="0045184E">
        <w:t xml:space="preserve">Výměna 2 kusů hlavních jističů </w:t>
      </w:r>
      <w:proofErr w:type="spellStart"/>
      <w:r w:rsidR="00E55396" w:rsidRPr="0045184E">
        <w:t>obj</w:t>
      </w:r>
      <w:proofErr w:type="spellEnd"/>
      <w:r w:rsidR="00E55396" w:rsidRPr="0045184E">
        <w:t>. 221, sklad Včelná</w:t>
      </w:r>
      <w:r w:rsidRPr="0045184E">
        <w:t xml:space="preserve">“, které zahrnuje zejména vypracování technologického postupu, </w:t>
      </w:r>
      <w:r w:rsidR="00E55396" w:rsidRPr="0045184E">
        <w:t>demontáž stávajících jističů typu AMT 600A, demontáž a montáž stávající výzbroje, přípravu pro osazení nových prvků, montáž nových výkonově shodných jističů</w:t>
      </w:r>
      <w:r w:rsidR="0045184E" w:rsidRPr="0045184E">
        <w:t>, výměnu dveří pro rozvaděčová pole RM221a pole 6, montáž ovládání, měření a signalizace jističů,</w:t>
      </w:r>
      <w:r w:rsidRPr="0045184E">
        <w:tab/>
      </w:r>
      <w:r w:rsidR="0045184E" w:rsidRPr="0045184E">
        <w:t xml:space="preserve">výchozí revize elektrického zařízení, </w:t>
      </w:r>
      <w:r w:rsidRPr="0045184E">
        <w:t>vypracování</w:t>
      </w:r>
      <w:r w:rsidR="00E55396" w:rsidRPr="0045184E">
        <w:t xml:space="preserve"> </w:t>
      </w:r>
      <w:r w:rsidRPr="0045184E">
        <w:t xml:space="preserve">dokumentace skutečného provedení, , vyzkoušení </w:t>
      </w:r>
      <w:proofErr w:type="gramStart"/>
      <w:r w:rsidRPr="0045184E">
        <w:t>díla  (dále</w:t>
      </w:r>
      <w:proofErr w:type="gramEnd"/>
      <w:r w:rsidRPr="0045184E">
        <w:t xml:space="preserve"> jen „</w:t>
      </w:r>
      <w:r w:rsidRPr="0045184E">
        <w:rPr>
          <w:b/>
          <w:i/>
        </w:rPr>
        <w:t>Dílo</w:t>
      </w:r>
      <w:r w:rsidRPr="0045184E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1B28C5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proofErr w:type="gramStart"/>
      <w:r w:rsidRPr="00AF68B0">
        <w:rPr>
          <w:highlight w:val="yellow"/>
        </w:rPr>
        <w:t>…..</w:t>
      </w:r>
      <w:r>
        <w:t xml:space="preserve"> k zakázce</w:t>
      </w:r>
      <w:proofErr w:type="gramEnd"/>
      <w:r>
        <w:t xml:space="preserve"> č.</w:t>
      </w:r>
      <w:r w:rsidR="001F325E">
        <w:t>210/14/OCN</w:t>
      </w:r>
      <w:r>
        <w:t>, nazvané „</w:t>
      </w:r>
      <w:r w:rsidR="001F325E" w:rsidRPr="0045184E">
        <w:t xml:space="preserve">Výměna 2 kusů hlavních jističů </w:t>
      </w:r>
      <w:proofErr w:type="spellStart"/>
      <w:r w:rsidR="001F325E" w:rsidRPr="0045184E">
        <w:t>obj</w:t>
      </w:r>
      <w:proofErr w:type="spellEnd"/>
      <w:r w:rsidR="001F325E" w:rsidRPr="0045184E">
        <w:t xml:space="preserve">. </w:t>
      </w:r>
      <w:r w:rsidR="001F325E" w:rsidRPr="001F325E">
        <w:t>221, sklad Včelná</w:t>
      </w:r>
      <w:r w:rsidRPr="001F325E">
        <w:t>“,</w:t>
      </w:r>
      <w:r>
        <w:t xml:space="preserve">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A71AB2" w:rsidRDefault="00DD6392" w:rsidP="00DD6392">
      <w:pPr>
        <w:pStyle w:val="Odstavec2"/>
      </w:pPr>
      <w:r w:rsidRPr="0081118E">
        <w:t>Zhotovitel je povinen při provádění Díla postupovat dle způsobu provedení uvedeného v závazném podrobném popisu technologických postupů a prací, který je součástí Nabídky</w:t>
      </w:r>
      <w:r w:rsidR="00A71AB2">
        <w:t xml:space="preserve"> </w:t>
      </w:r>
      <w:r w:rsidR="00A71AB2" w:rsidRPr="00E44CD0">
        <w:t xml:space="preserve">a který bude ze strany Objednatele </w:t>
      </w:r>
      <w:r w:rsidR="00A71AB2">
        <w:t xml:space="preserve">v souladu a dle podmínek uvedených v Zadávací dokumentaci </w:t>
      </w:r>
      <w:r w:rsidR="00A71AB2" w:rsidRPr="00E44CD0">
        <w:t xml:space="preserve">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A71AB2">
        <w:t>S</w:t>
      </w:r>
      <w:r w:rsidR="00A71AB2" w:rsidRPr="00E44CD0">
        <w:t>taveniště</w:t>
      </w:r>
      <w:r w:rsidR="00994DF4" w:rsidRPr="0081118E">
        <w:t>.</w:t>
      </w:r>
    </w:p>
    <w:p w:rsidR="00A71AB2" w:rsidRDefault="00A71AB2" w:rsidP="00A71AB2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A71AB2" w:rsidRDefault="00A71AB2" w:rsidP="00A71AB2">
      <w:pPr>
        <w:pStyle w:val="Odstavec2"/>
      </w:pPr>
      <w:r>
        <w:t>Zhotovitel se zavazuje nejpozději před zahájením vlastních prací na Díle předat Objednateli jmenný seznam pracovníků a osob na straně Zhotovitele podílejících se na Díle a rovněž seznam techniky a vozidel, jež bude Zhotovitel užívat a pro něž Objednatel zajistí povolení pro vstup a vjezd na Staveniště do areálu skladu pohonných hmot.</w:t>
      </w:r>
    </w:p>
    <w:p w:rsidR="00A71AB2" w:rsidRDefault="00A71AB2" w:rsidP="00A71AB2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994DF4" w:rsidRPr="0081118E" w:rsidRDefault="00994DF4" w:rsidP="00A71AB2">
      <w:pPr>
        <w:pStyle w:val="Odstavec2"/>
        <w:numPr>
          <w:ilvl w:val="0"/>
          <w:numId w:val="0"/>
        </w:numPr>
        <w:ind w:left="567"/>
      </w:pPr>
    </w:p>
    <w:p w:rsidR="00994DF4" w:rsidRPr="0081118E" w:rsidRDefault="00DD6392" w:rsidP="00DD6392">
      <w:pPr>
        <w:pStyle w:val="Odstavec2"/>
      </w:pPr>
      <w:r w:rsidRPr="0081118E">
        <w:t xml:space="preserve">Objednatel zajistí pro realizaci Díla: </w:t>
      </w:r>
    </w:p>
    <w:p w:rsidR="00994DF4" w:rsidRPr="0081118E" w:rsidRDefault="00DD6392" w:rsidP="00994DF4">
      <w:pPr>
        <w:pStyle w:val="Odstavec2"/>
        <w:numPr>
          <w:ilvl w:val="1"/>
          <w:numId w:val="36"/>
        </w:numPr>
      </w:pPr>
      <w:r w:rsidRPr="0081118E">
        <w:t xml:space="preserve">povolení ke vstupu na pozemky a/nebo do prostor dotčených zhotovováním Díla (tj. na Staveniště), </w:t>
      </w:r>
    </w:p>
    <w:p w:rsidR="00994DF4" w:rsidRPr="0081118E" w:rsidRDefault="00DD6392" w:rsidP="00994DF4">
      <w:pPr>
        <w:pStyle w:val="Odstavec2"/>
        <w:numPr>
          <w:ilvl w:val="1"/>
          <w:numId w:val="35"/>
        </w:numPr>
      </w:pPr>
      <w:r w:rsidRPr="0081118E">
        <w:t xml:space="preserve"> poskytne součinnost při realizaci Díla v termínech dohodnutých v Harmonogramu plnění,</w:t>
      </w:r>
      <w:r w:rsidR="00A71AB2">
        <w:t xml:space="preserve"> zejména při provádění funkčních a komplexních zkoušek</w:t>
      </w:r>
    </w:p>
    <w:p w:rsidR="006767D5" w:rsidRPr="0081118E" w:rsidRDefault="00994DF4" w:rsidP="00DD57F1">
      <w:pPr>
        <w:pStyle w:val="Odstavec2"/>
        <w:numPr>
          <w:ilvl w:val="1"/>
          <w:numId w:val="35"/>
        </w:numPr>
      </w:pPr>
      <w:r w:rsidRPr="0081118E">
        <w:t>vytýčení podzemních inženýrských sítí a hranic Staveniště,</w:t>
      </w:r>
      <w:r w:rsidR="00DD6392" w:rsidRPr="0081118E">
        <w:rPr>
          <w:rFonts w:ascii="Times New Roman" w:hAnsi="Times New Roman"/>
          <w:color w:val="000000" w:themeColor="text1"/>
        </w:rPr>
        <w:t xml:space="preserve"> </w:t>
      </w:r>
    </w:p>
    <w:p w:rsidR="006767D5" w:rsidRPr="006767D5" w:rsidRDefault="006767D5" w:rsidP="006767D5">
      <w:pPr>
        <w:pStyle w:val="Odstavecseseznamem"/>
        <w:numPr>
          <w:ilvl w:val="1"/>
          <w:numId w:val="35"/>
        </w:numPr>
        <w:rPr>
          <w:rFonts w:ascii="Arial" w:hAnsi="Arial"/>
          <w:sz w:val="20"/>
          <w:szCs w:val="20"/>
        </w:rPr>
      </w:pPr>
      <w:r w:rsidRPr="006767D5">
        <w:rPr>
          <w:rFonts w:ascii="Arial" w:hAnsi="Arial"/>
          <w:sz w:val="20"/>
          <w:szCs w:val="20"/>
        </w:rPr>
        <w:t>požární asistenci jedné požární hlídky při pracích s otevřeným plamenem, broušení, řezání (na vyžádání)</w:t>
      </w:r>
    </w:p>
    <w:p w:rsidR="006767D5" w:rsidRPr="006767D5" w:rsidRDefault="006767D5" w:rsidP="006767D5">
      <w:pPr>
        <w:pStyle w:val="Odstavecseseznamem"/>
        <w:numPr>
          <w:ilvl w:val="1"/>
          <w:numId w:val="35"/>
        </w:numPr>
        <w:rPr>
          <w:rFonts w:ascii="Arial" w:hAnsi="Arial"/>
          <w:sz w:val="20"/>
          <w:szCs w:val="20"/>
        </w:rPr>
      </w:pPr>
      <w:r w:rsidRPr="006767D5">
        <w:rPr>
          <w:rFonts w:ascii="Arial" w:hAnsi="Arial"/>
          <w:sz w:val="20"/>
          <w:szCs w:val="20"/>
        </w:rPr>
        <w:t xml:space="preserve">vstupní proškolení </w:t>
      </w:r>
      <w:proofErr w:type="gramStart"/>
      <w:r w:rsidRPr="006767D5">
        <w:rPr>
          <w:rFonts w:ascii="Arial" w:hAnsi="Arial"/>
          <w:sz w:val="20"/>
          <w:szCs w:val="20"/>
        </w:rPr>
        <w:t xml:space="preserve">pracovníků </w:t>
      </w:r>
      <w:r w:rsidR="00A71AB2">
        <w:rPr>
          <w:rFonts w:ascii="Arial" w:hAnsi="Arial"/>
          <w:sz w:val="20"/>
          <w:szCs w:val="20"/>
        </w:rPr>
        <w:t xml:space="preserve"> a osob</w:t>
      </w:r>
      <w:proofErr w:type="gramEnd"/>
      <w:r w:rsidR="00A71AB2">
        <w:rPr>
          <w:rFonts w:ascii="Arial" w:hAnsi="Arial"/>
          <w:sz w:val="20"/>
          <w:szCs w:val="20"/>
        </w:rPr>
        <w:t xml:space="preserve"> na straně Zhotovitele</w:t>
      </w:r>
      <w:r w:rsidRPr="006767D5">
        <w:rPr>
          <w:rFonts w:ascii="Arial" w:hAnsi="Arial"/>
          <w:sz w:val="20"/>
          <w:szCs w:val="20"/>
        </w:rPr>
        <w:t xml:space="preserve"> z podmínek BOZP, PO, PZH platných v areálu skladu pohonných hmot a seznámení s možnými riziky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E31F5">
      <w:pPr>
        <w:pStyle w:val="Odstavec2"/>
      </w:pPr>
      <w:r w:rsidRPr="007F3FC6">
        <w:t xml:space="preserve">Místem plnění je: </w:t>
      </w:r>
      <w:r w:rsidR="002E31F5" w:rsidRPr="002E31F5">
        <w:t xml:space="preserve">ČEPRO, a.s., středisko 2 Jih - sklad Včelná, Boršov nad Vltavou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CC601C">
        <w:t xml:space="preserve">bude </w:t>
      </w:r>
      <w:r w:rsidRPr="007F3FC6">
        <w:t>prováděno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062B82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</w:t>
      </w:r>
      <w:r w:rsidR="00DC6B06">
        <w:t xml:space="preserve"> a lhůty pro</w:t>
      </w:r>
      <w:r w:rsidRPr="007F3FC6">
        <w:t xml:space="preserve"> provedení Díla</w:t>
      </w:r>
      <w:r>
        <w:t>:</w:t>
      </w:r>
    </w:p>
    <w:p w:rsidR="007F3FC6" w:rsidRPr="008873F7" w:rsidRDefault="007F3FC6" w:rsidP="007F3FC6">
      <w:pPr>
        <w:pStyle w:val="Odstavec2"/>
        <w:numPr>
          <w:ilvl w:val="0"/>
          <w:numId w:val="0"/>
        </w:numPr>
        <w:ind w:left="567"/>
      </w:pPr>
      <w:r w:rsidRPr="008873F7">
        <w:t xml:space="preserve">Zahájení Díla: </w:t>
      </w:r>
      <w:r w:rsidR="008873F7" w:rsidRPr="008873F7">
        <w:t xml:space="preserve">   </w:t>
      </w:r>
      <w:r w:rsidR="008873F7">
        <w:t xml:space="preserve">               </w:t>
      </w:r>
      <w:r w:rsidR="00B61BC2">
        <w:t xml:space="preserve">v </w:t>
      </w:r>
      <w:proofErr w:type="gramStart"/>
      <w:r w:rsidR="008873F7" w:rsidRPr="008873F7">
        <w:t>listopad</w:t>
      </w:r>
      <w:r w:rsidR="00B61BC2">
        <w:t>u</w:t>
      </w:r>
      <w:r w:rsidR="008873F7" w:rsidRPr="008873F7">
        <w:t xml:space="preserve">  2014</w:t>
      </w:r>
      <w:proofErr w:type="gramEnd"/>
      <w:r w:rsidR="008873F7" w:rsidRPr="008873F7">
        <w:t>, do 10 dnů od písemné výzvy Objednatele</w:t>
      </w:r>
    </w:p>
    <w:p w:rsidR="007F3FC6" w:rsidRPr="008873F7" w:rsidRDefault="007F3FC6" w:rsidP="007F3FC6">
      <w:pPr>
        <w:pStyle w:val="Odstavec2"/>
        <w:numPr>
          <w:ilvl w:val="0"/>
          <w:numId w:val="0"/>
        </w:numPr>
        <w:ind w:left="567"/>
      </w:pPr>
      <w:r w:rsidRPr="008873F7">
        <w:t xml:space="preserve">Dokončení </w:t>
      </w:r>
      <w:r w:rsidR="008873F7">
        <w:t xml:space="preserve">a předání </w:t>
      </w:r>
      <w:r w:rsidRPr="008873F7">
        <w:t xml:space="preserve">Díla: </w:t>
      </w:r>
      <w:r w:rsidR="008873F7" w:rsidRPr="008873F7">
        <w:t>do 30 dnů od zahájení Díla</w:t>
      </w:r>
    </w:p>
    <w:p w:rsidR="007F3FC6" w:rsidRPr="008873F7" w:rsidRDefault="002F6183" w:rsidP="007F3FC6">
      <w:pPr>
        <w:pStyle w:val="Odstavec2"/>
        <w:numPr>
          <w:ilvl w:val="0"/>
          <w:numId w:val="0"/>
        </w:numPr>
        <w:ind w:left="567"/>
      </w:pPr>
      <w:r w:rsidRPr="008873F7">
        <w:t>Zhotovitel je povinen realizovat Dílo v termínech uvedených v Harmonogramu plnění uvedeném v Nabídce, resp. odsouhlaseném Objednatelem (dále jen „</w:t>
      </w:r>
      <w:r w:rsidRPr="008873F7">
        <w:rPr>
          <w:b/>
          <w:i/>
        </w:rPr>
        <w:t>Harmonogram plnění</w:t>
      </w:r>
      <w:r w:rsidRPr="008873F7">
        <w:t>“)</w:t>
      </w:r>
      <w:r w:rsidR="00B61BC2">
        <w:t>. Harmonogram plnění schválený se strany Objednatele se stane součástí této Smlouvy.</w:t>
      </w:r>
    </w:p>
    <w:p w:rsidR="006F054D" w:rsidRPr="008873F7" w:rsidRDefault="007F3FC6" w:rsidP="006F054D">
      <w:pPr>
        <w:pStyle w:val="Odstavec2"/>
      </w:pPr>
      <w:r w:rsidRPr="008873F7">
        <w:t xml:space="preserve">Řádné provedení Díla vyžaduje odstávku/y </w:t>
      </w:r>
      <w:r w:rsidR="006F054D">
        <w:t xml:space="preserve">části </w:t>
      </w:r>
      <w:r w:rsidRPr="008873F7">
        <w:t>provozu Objednatele</w:t>
      </w:r>
      <w:r w:rsidR="006F054D">
        <w:t xml:space="preserve">, a to konkrétně objektu č. 230 a objektu čerpací stanice </w:t>
      </w:r>
      <w:proofErr w:type="spellStart"/>
      <w:r w:rsidR="006F054D">
        <w:t>EuroOil</w:t>
      </w:r>
      <w:proofErr w:type="spellEnd"/>
      <w:r w:rsidR="006F054D">
        <w:t xml:space="preserve"> v blízkosti Staveniště se nacházející</w:t>
      </w:r>
      <w:r w:rsidRPr="008873F7">
        <w:t>.</w:t>
      </w:r>
      <w:r w:rsidR="002F6183" w:rsidRPr="008873F7">
        <w:t xml:space="preserve"> Smluvní strany se dohodly, že postup prací i případných sjednaných odstávek se řídí dle Harmonogramu plnění. Objednatel je povinen potvrdit písemně termín odstávky nebo určit jiný termín odstávky, vždy nejpozději </w:t>
      </w:r>
      <w:r w:rsidR="006F054D">
        <w:t>1</w:t>
      </w:r>
      <w:r w:rsidR="002F6183" w:rsidRPr="008873F7">
        <w:t xml:space="preserve"> pracovní d</w:t>
      </w:r>
      <w:r w:rsidR="006F054D">
        <w:t>e</w:t>
      </w:r>
      <w:r w:rsidR="002F6183" w:rsidRPr="008873F7">
        <w:t xml:space="preserve">n před termínem zahájení plánované odstávky.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C82377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Pr="00C82377">
        <w:t>jednorázově.</w:t>
      </w:r>
    </w:p>
    <w:p w:rsidR="002F6183" w:rsidRPr="00C82377" w:rsidRDefault="00521FE0" w:rsidP="002F6183">
      <w:pPr>
        <w:pStyle w:val="Odstavec3"/>
      </w:pPr>
      <w:r w:rsidRPr="00D20394">
        <w:t xml:space="preserve">Součástí předání a převzetí Staveniště je i předání dokumentů stanovených obecně závaznými právními předpisy </w:t>
      </w:r>
      <w:r w:rsidRPr="00C82377">
        <w:t>a níže uvedených dokumentů Objednatelem Zhotoviteli, pokud nebyly tyto dokumenty předány již dříve, a to:</w:t>
      </w:r>
    </w:p>
    <w:p w:rsidR="00521FE0" w:rsidRPr="00C82377" w:rsidRDefault="00521FE0" w:rsidP="00521FE0">
      <w:pPr>
        <w:pStyle w:val="Odstavec3"/>
        <w:numPr>
          <w:ilvl w:val="2"/>
          <w:numId w:val="26"/>
        </w:numPr>
      </w:pPr>
      <w:r w:rsidRPr="00C82377">
        <w:t>vyznačení bodů pro napojení odběrných míst vody, kanalizace, elektrické energie, plynu či případně jiných médií,</w:t>
      </w:r>
    </w:p>
    <w:p w:rsidR="00521FE0" w:rsidRPr="00C82377" w:rsidRDefault="00521FE0" w:rsidP="00521FE0">
      <w:pPr>
        <w:pStyle w:val="Odstavec3"/>
        <w:numPr>
          <w:ilvl w:val="2"/>
          <w:numId w:val="26"/>
        </w:numPr>
      </w:pPr>
      <w:r w:rsidRPr="00C82377">
        <w:t>podm</w:t>
      </w:r>
      <w:r w:rsidRPr="00C82377">
        <w:rPr>
          <w:rFonts w:cs="Arial"/>
        </w:rPr>
        <w:t>í</w:t>
      </w:r>
      <w:r w:rsidRPr="00C82377">
        <w:t>nky vztahuj</w:t>
      </w:r>
      <w:r w:rsidRPr="00C82377">
        <w:rPr>
          <w:rFonts w:cs="Arial"/>
        </w:rPr>
        <w:t>í</w:t>
      </w:r>
      <w:r w:rsidRPr="00C82377">
        <w:t>c</w:t>
      </w:r>
      <w:r w:rsidRPr="00C82377">
        <w:rPr>
          <w:rFonts w:cs="Arial"/>
        </w:rPr>
        <w:t>í</w:t>
      </w:r>
      <w:r w:rsidRPr="00C82377">
        <w:t xml:space="preserve"> se k ochran</w:t>
      </w:r>
      <w:r w:rsidRPr="00C82377">
        <w:rPr>
          <w:rFonts w:cs="Arial"/>
        </w:rPr>
        <w:t>ě</w:t>
      </w:r>
      <w:r w:rsidRPr="00C82377">
        <w:t xml:space="preserve"> </w:t>
      </w:r>
      <w:r w:rsidRPr="00C82377">
        <w:rPr>
          <w:rFonts w:cs="Arial"/>
        </w:rPr>
        <w:t>ž</w:t>
      </w:r>
      <w:r w:rsidRPr="00C82377">
        <w:t>ivotn</w:t>
      </w:r>
      <w:r w:rsidRPr="00C82377">
        <w:rPr>
          <w:rFonts w:cs="Arial"/>
        </w:rPr>
        <w:t>í</w:t>
      </w:r>
      <w:r w:rsidRPr="00C82377">
        <w:t>ho prost</w:t>
      </w:r>
      <w:r w:rsidRPr="00C82377">
        <w:rPr>
          <w:rFonts w:cs="Arial"/>
        </w:rPr>
        <w:t>ř</w:t>
      </w:r>
      <w:r w:rsidRPr="00C82377">
        <w:t>ed</w:t>
      </w:r>
      <w:r w:rsidRPr="00C82377">
        <w:rPr>
          <w:rFonts w:cs="Arial"/>
        </w:rPr>
        <w:t>í</w:t>
      </w:r>
      <w:r w:rsidRPr="00C82377">
        <w:t xml:space="preserve"> (zejm</w:t>
      </w:r>
      <w:r w:rsidRPr="00C82377">
        <w:rPr>
          <w:rFonts w:cs="Arial"/>
        </w:rPr>
        <w:t>é</w:t>
      </w:r>
      <w:r w:rsidRPr="00C82377">
        <w:t>na v ot</w:t>
      </w:r>
      <w:r w:rsidRPr="00C82377">
        <w:rPr>
          <w:rFonts w:cs="Arial"/>
        </w:rPr>
        <w:t>á</w:t>
      </w:r>
      <w:r w:rsidRPr="00C82377">
        <w:t>zk</w:t>
      </w:r>
      <w:r w:rsidRPr="00C82377">
        <w:rPr>
          <w:rFonts w:cs="Arial"/>
        </w:rPr>
        <w:t>á</w:t>
      </w:r>
      <w:r w:rsidRPr="00C82377">
        <w:t>ch zelen</w:t>
      </w:r>
      <w:r w:rsidRPr="00C82377">
        <w:rPr>
          <w:rFonts w:cs="Arial"/>
        </w:rPr>
        <w:t>ě</w:t>
      </w:r>
      <w:r w:rsidRPr="00C82377">
        <w:t>, manipulace s odpady, odvod zne</w:t>
      </w:r>
      <w:r w:rsidRPr="00C82377">
        <w:rPr>
          <w:rFonts w:cs="Arial"/>
        </w:rPr>
        <w:t>č</w:t>
      </w:r>
      <w:r w:rsidRPr="00C82377">
        <w:t>i</w:t>
      </w:r>
      <w:r w:rsidRPr="00C82377">
        <w:rPr>
          <w:rFonts w:cs="Arial"/>
        </w:rPr>
        <w:t>š</w:t>
      </w:r>
      <w:r w:rsidRPr="00C82377">
        <w:t>t</w:t>
      </w:r>
      <w:r w:rsidRPr="00C82377">
        <w:rPr>
          <w:rFonts w:cs="Arial"/>
        </w:rPr>
        <w:t>ě</w:t>
      </w:r>
      <w:r w:rsidRPr="00C82377">
        <w:t>n</w:t>
      </w:r>
      <w:r w:rsidRPr="00C82377">
        <w:rPr>
          <w:rFonts w:cs="Arial"/>
        </w:rPr>
        <w:t>ý</w:t>
      </w:r>
      <w:r w:rsidRPr="00C82377">
        <w:t>ch vod apod.),</w:t>
      </w:r>
    </w:p>
    <w:p w:rsidR="00521FE0" w:rsidRPr="00C82377" w:rsidRDefault="00521FE0" w:rsidP="00521FE0">
      <w:pPr>
        <w:pStyle w:val="Odstavec3"/>
        <w:numPr>
          <w:ilvl w:val="2"/>
          <w:numId w:val="26"/>
        </w:numPr>
      </w:pPr>
      <w:r w:rsidRPr="00C82377">
        <w:t>doklady o vyt</w:t>
      </w:r>
      <w:r w:rsidRPr="00C82377">
        <w:rPr>
          <w:rFonts w:cs="Arial"/>
        </w:rPr>
        <w:t>ýč</w:t>
      </w:r>
      <w:r w:rsidRPr="00C82377">
        <w:t>en</w:t>
      </w:r>
      <w:r w:rsidRPr="00C82377">
        <w:rPr>
          <w:rFonts w:cs="Arial"/>
        </w:rPr>
        <w:t>í</w:t>
      </w:r>
      <w:r w:rsidRPr="00C82377">
        <w:t xml:space="preserve"> st</w:t>
      </w:r>
      <w:r w:rsidRPr="00C82377">
        <w:rPr>
          <w:rFonts w:cs="Arial"/>
        </w:rPr>
        <w:t>á</w:t>
      </w:r>
      <w:r w:rsidRPr="00C82377">
        <w:t>vaj</w:t>
      </w:r>
      <w:r w:rsidRPr="00C82377">
        <w:rPr>
          <w:rFonts w:cs="Arial"/>
        </w:rPr>
        <w:t>í</w:t>
      </w:r>
      <w:r w:rsidRPr="00C82377">
        <w:t>c</w:t>
      </w:r>
      <w:r w:rsidRPr="00C82377">
        <w:rPr>
          <w:rFonts w:cs="Arial"/>
        </w:rPr>
        <w:t>í</w:t>
      </w:r>
      <w:r w:rsidRPr="00C82377">
        <w:t>ch in</w:t>
      </w:r>
      <w:r w:rsidRPr="00C82377">
        <w:rPr>
          <w:rFonts w:cs="Arial"/>
        </w:rPr>
        <w:t>ž</w:t>
      </w:r>
      <w:r w:rsidRPr="00C82377">
        <w:t>en</w:t>
      </w:r>
      <w:r w:rsidRPr="00C82377">
        <w:rPr>
          <w:rFonts w:cs="Arial"/>
        </w:rPr>
        <w:t>ý</w:t>
      </w:r>
      <w:r w:rsidRPr="00C82377">
        <w:t>rsk</w:t>
      </w:r>
      <w:r w:rsidRPr="00C82377">
        <w:rPr>
          <w:rFonts w:cs="Arial"/>
        </w:rPr>
        <w:t>ý</w:t>
      </w:r>
      <w:r w:rsidRPr="00C82377">
        <w:t>ch s</w:t>
      </w:r>
      <w:r w:rsidRPr="00C82377">
        <w:rPr>
          <w:rFonts w:cs="Arial"/>
        </w:rPr>
        <w:t>í</w:t>
      </w:r>
      <w:r w:rsidRPr="00C82377">
        <w:t>t</w:t>
      </w:r>
      <w:r w:rsidRPr="00C82377">
        <w:rPr>
          <w:rFonts w:cs="Arial"/>
        </w:rPr>
        <w:t>í</w:t>
      </w:r>
      <w:r w:rsidRPr="00C82377">
        <w:t xml:space="preserve"> nach</w:t>
      </w:r>
      <w:r w:rsidRPr="00C82377">
        <w:rPr>
          <w:rFonts w:cs="Arial"/>
        </w:rPr>
        <w:t>á</w:t>
      </w:r>
      <w:r w:rsidRPr="00C82377">
        <w:t>zej</w:t>
      </w:r>
      <w:r w:rsidRPr="00C82377">
        <w:rPr>
          <w:rFonts w:cs="Arial"/>
        </w:rPr>
        <w:t>í</w:t>
      </w:r>
      <w:r w:rsidRPr="00C82377">
        <w:t>c</w:t>
      </w:r>
      <w:r w:rsidRPr="00C82377">
        <w:rPr>
          <w:rFonts w:cs="Arial"/>
        </w:rPr>
        <w:t>í</w:t>
      </w:r>
      <w:r w:rsidRPr="00C82377">
        <w:t>ch se v prostoru Staveni</w:t>
      </w:r>
      <w:r w:rsidRPr="00C82377">
        <w:rPr>
          <w:rFonts w:cs="Arial"/>
        </w:rPr>
        <w:t>š</w:t>
      </w:r>
      <w:r w:rsidRPr="00C82377">
        <w:t>t</w:t>
      </w:r>
      <w:r w:rsidRPr="00C82377">
        <w:rPr>
          <w:rFonts w:cs="Arial"/>
        </w:rPr>
        <w:t>ě</w:t>
      </w:r>
      <w:r w:rsidRPr="00C82377">
        <w:t>, p</w:t>
      </w:r>
      <w:r w:rsidRPr="00C82377">
        <w:rPr>
          <w:rFonts w:cs="Arial"/>
        </w:rPr>
        <w:t>ří</w:t>
      </w:r>
      <w:r w:rsidRPr="00C82377">
        <w:t>padn</w:t>
      </w:r>
      <w:r w:rsidRPr="00C82377">
        <w:rPr>
          <w:rFonts w:cs="Arial"/>
        </w:rPr>
        <w:t>ě</w:t>
      </w:r>
      <w:r w:rsidRPr="00C82377">
        <w:t xml:space="preserve"> i na pozemc</w:t>
      </w:r>
      <w:r w:rsidRPr="00C82377">
        <w:rPr>
          <w:rFonts w:cs="Arial"/>
        </w:rPr>
        <w:t>í</w:t>
      </w:r>
      <w:r w:rsidRPr="00C82377">
        <w:t>ch p</w:t>
      </w:r>
      <w:r w:rsidRPr="00C82377">
        <w:rPr>
          <w:rFonts w:cs="Arial"/>
        </w:rPr>
        <w:t>ř</w:t>
      </w:r>
      <w:r w:rsidRPr="00C82377">
        <w:t>ilehlých, které budou prováděním Díla dotčeny, včetně podmínek správců nebo vlastníků těchto sítí,</w:t>
      </w:r>
    </w:p>
    <w:p w:rsidR="00521FE0" w:rsidRPr="00C82377" w:rsidRDefault="00521FE0" w:rsidP="00521FE0">
      <w:pPr>
        <w:pStyle w:val="Odstavec3"/>
      </w:pPr>
      <w:r w:rsidRPr="00C82377">
        <w:t>Zhotovitel je povinen předat vyklizené Staveniště bez vad 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6F054D" w:rsidRPr="006042EA" w:rsidRDefault="006F054D" w:rsidP="006F054D">
      <w:pPr>
        <w:pStyle w:val="Odstavec2"/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6F054D" w:rsidRDefault="006F054D" w:rsidP="006F054D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0E5FC1" w:rsidRDefault="005C5D01" w:rsidP="005C5D01">
      <w:pPr>
        <w:pStyle w:val="Odstavec2"/>
        <w:numPr>
          <w:ilvl w:val="0"/>
          <w:numId w:val="0"/>
        </w:numPr>
        <w:ind w:left="567"/>
      </w:pPr>
      <w:r w:rsidRPr="000E5FC1">
        <w:t>uhrazena jednorázově po řádném a úplném dokončení celého Díla, na základě faktury – daňového dokladu (dále jen „</w:t>
      </w:r>
      <w:r w:rsidRPr="000E5FC1">
        <w:rPr>
          <w:b/>
          <w:i/>
        </w:rPr>
        <w:t>faktura</w:t>
      </w:r>
      <w:r w:rsidRPr="000E5FC1">
        <w:t xml:space="preserve">“) vystavené po předání a převzetí Díla, o kterém </w:t>
      </w:r>
      <w:r w:rsidR="00E00091" w:rsidRPr="000E5FC1">
        <w:t xml:space="preserve">bude sepsán Protokol o předání </w:t>
      </w:r>
      <w:r w:rsidRPr="000E5FC1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861A29">
          <w:rPr>
            <w:rStyle w:val="Hypertextovodkaz"/>
            <w:u w:val="none"/>
          </w:rPr>
          <w:t>cepro_DF@ceproas.cz</w:t>
        </w:r>
      </w:hyperlink>
      <w:r w:rsidRPr="00861A29">
        <w:t>.</w:t>
      </w:r>
    </w:p>
    <w:p w:rsidR="006F054D" w:rsidRDefault="00E00091" w:rsidP="006F054D">
      <w:pPr>
        <w:pStyle w:val="Odstavec2"/>
        <w:numPr>
          <w:ilvl w:val="0"/>
          <w:numId w:val="0"/>
        </w:numPr>
        <w:ind w:left="567"/>
      </w:pPr>
      <w:r w:rsidRPr="00E00091">
        <w:t>Každá faktura dle této Smlouvy je splatná do … dnů od jejího doručení Objednateli</w:t>
      </w:r>
      <w:r>
        <w:t>.</w:t>
      </w:r>
      <w:r w:rsidR="006F054D">
        <w:t xml:space="preserve"> Na faktuře bude uvedeno číslo objednávky </w:t>
      </w:r>
      <w:proofErr w:type="gramStart"/>
      <w:r w:rsidR="006F054D">
        <w:t>45000...................</w:t>
      </w:r>
      <w:proofErr w:type="gramEnd"/>
    </w:p>
    <w:p w:rsidR="007B1761" w:rsidRDefault="007B1761" w:rsidP="00280022">
      <w:pPr>
        <w:pStyle w:val="lnek"/>
      </w:pPr>
      <w:bookmarkStart w:id="1" w:name="_GoBack"/>
      <w:bookmarkEnd w:id="1"/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D20394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D20394">
        <w:t xml:space="preserve">uskuteční </w:t>
      </w:r>
      <w:r w:rsidR="00E322F9" w:rsidRPr="00236D27">
        <w:t>po řádném dokončení celého Díla</w:t>
      </w:r>
      <w:r w:rsidR="000E5FC1" w:rsidRPr="00236D27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0E5FC1" w:rsidRDefault="000E5FC1" w:rsidP="000E5FC1">
      <w:pPr>
        <w:pStyle w:val="Body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0E5FC1" w:rsidRDefault="000E5FC1" w:rsidP="000E5FC1">
      <w:pPr>
        <w:pStyle w:val="Body"/>
      </w:pPr>
      <w:r>
        <w:t xml:space="preserve">záruční listy k dodanému </w:t>
      </w:r>
      <w:r w:rsidR="006F054D">
        <w:t>zařízení</w:t>
      </w:r>
      <w:r>
        <w:t xml:space="preserve"> </w:t>
      </w:r>
    </w:p>
    <w:p w:rsidR="000E5FC1" w:rsidRDefault="000E5FC1" w:rsidP="000E5FC1">
      <w:pPr>
        <w:pStyle w:val="Body"/>
      </w:pPr>
      <w:r>
        <w:t>osvědčení o jakosti a kompletnosti</w:t>
      </w:r>
    </w:p>
    <w:p w:rsidR="000E5FC1" w:rsidRDefault="000E5FC1" w:rsidP="000E5FC1">
      <w:pPr>
        <w:pStyle w:val="Body"/>
      </w:pPr>
      <w:r>
        <w:t xml:space="preserve">pracovní  deník - originál pro archivaci </w:t>
      </w:r>
      <w:r w:rsidR="006F054D">
        <w:t>Objednatele</w:t>
      </w:r>
      <w:r>
        <w:t xml:space="preserve"> a jednu kopii, v pracovním deníku bude zapsán postup realizace </w:t>
      </w:r>
      <w:r w:rsidR="006F054D">
        <w:t>D</w:t>
      </w:r>
      <w:r>
        <w:t>íla a skutečnosti mající vliv na jeho kvalitu</w:t>
      </w:r>
    </w:p>
    <w:p w:rsidR="000E5FC1" w:rsidRDefault="000E5FC1" w:rsidP="000E5FC1">
      <w:pPr>
        <w:pStyle w:val="Body"/>
      </w:pPr>
      <w:r>
        <w:t xml:space="preserve">doklady o ekologické likvidaci odpadů vzniklých při realizaci </w:t>
      </w:r>
      <w:r w:rsidR="006F054D">
        <w:t>Díla</w:t>
      </w:r>
    </w:p>
    <w:p w:rsidR="000E5FC1" w:rsidRDefault="000E5FC1" w:rsidP="000E5FC1">
      <w:pPr>
        <w:pStyle w:val="Body"/>
      </w:pPr>
      <w:r>
        <w:t xml:space="preserve">projekt skutečného provedení a dokladová část 2 x </w:t>
      </w:r>
      <w:proofErr w:type="spellStart"/>
      <w:r>
        <w:t>paré</w:t>
      </w:r>
      <w:proofErr w:type="spellEnd"/>
      <w:r>
        <w:t xml:space="preserve"> v papírové podobě a 2 x na CD s </w:t>
      </w:r>
      <w:proofErr w:type="gramStart"/>
      <w:r>
        <w:t>dokumentaci</w:t>
      </w:r>
      <w:proofErr w:type="gramEnd"/>
      <w:r>
        <w:t xml:space="preserve"> v elektronické formě ve zdrojových formátech </w:t>
      </w:r>
      <w:r w:rsidR="006F054D">
        <w:t>dle požadavků Objednatele</w:t>
      </w:r>
    </w:p>
    <w:p w:rsidR="000E5FC1" w:rsidRDefault="000E5FC1" w:rsidP="000E5FC1">
      <w:pPr>
        <w:pStyle w:val="Body"/>
      </w:pPr>
      <w:r>
        <w:t>protokoly, atesty, certifikáty a osvědčení o jakosti (zkouškách) použitých materiálů</w:t>
      </w:r>
    </w:p>
    <w:p w:rsidR="000E5FC1" w:rsidRDefault="000E5FC1" w:rsidP="000E5FC1">
      <w:pPr>
        <w:pStyle w:val="Body"/>
      </w:pPr>
      <w:r>
        <w:t>dokumentaci dováženého zařízení v českém jazyce</w:t>
      </w:r>
    </w:p>
    <w:p w:rsidR="000E5FC1" w:rsidRDefault="000E5FC1" w:rsidP="000E5FC1">
      <w:pPr>
        <w:pStyle w:val="Body"/>
      </w:pPr>
      <w:r>
        <w:t xml:space="preserve">výchozí revizní zprávy elektroinstalace a zařízení dle ČSN 331500, ČSN 332000-6 </w:t>
      </w:r>
    </w:p>
    <w:p w:rsidR="000E5FC1" w:rsidRDefault="000E5FC1" w:rsidP="000E5FC1">
      <w:pPr>
        <w:pStyle w:val="Body"/>
      </w:pPr>
      <w:r>
        <w:t xml:space="preserve">protokol o funkčních zkouškách (uvedení do provozu, komplexní zkoušky a ověření spolehlivosti funkce) </w:t>
      </w:r>
    </w:p>
    <w:p w:rsidR="000E5FC1" w:rsidRDefault="006F054D" w:rsidP="000E5FC1">
      <w:pPr>
        <w:pStyle w:val="Body"/>
      </w:pPr>
      <w:r>
        <w:lastRenderedPageBreak/>
        <w:t>protokol o provedení zaškolení obsluhy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BF7896" w:rsidRDefault="00BF7896" w:rsidP="00CD1BFE">
      <w:pPr>
        <w:pStyle w:val="Odstavec2"/>
        <w:numPr>
          <w:ilvl w:val="0"/>
          <w:numId w:val="29"/>
        </w:numPr>
      </w:pPr>
      <w:proofErr w:type="gramStart"/>
      <w:r w:rsidRPr="00BF7896">
        <w:t>2</w:t>
      </w:r>
      <w:r w:rsidR="00CD1BFE" w:rsidRPr="00BF7896">
        <w:t>.x v listinné</w:t>
      </w:r>
      <w:proofErr w:type="gramEnd"/>
      <w:r w:rsidR="00CD1BFE" w:rsidRPr="00BF7896">
        <w:t xml:space="preserve"> podobě;</w:t>
      </w:r>
    </w:p>
    <w:p w:rsidR="00CD1BFE" w:rsidRPr="00BF7896" w:rsidRDefault="00BF7896" w:rsidP="00CD1BFE">
      <w:pPr>
        <w:pStyle w:val="Odstavec2"/>
        <w:numPr>
          <w:ilvl w:val="0"/>
          <w:numId w:val="29"/>
        </w:numPr>
      </w:pPr>
      <w:proofErr w:type="gramStart"/>
      <w:r w:rsidRPr="00BF7896">
        <w:t>1</w:t>
      </w:r>
      <w:r w:rsidR="00CD1BFE" w:rsidRPr="00BF7896">
        <w:t>.x v elektronické</w:t>
      </w:r>
      <w:proofErr w:type="gramEnd"/>
      <w:r w:rsidR="00CD1BFE" w:rsidRPr="00BF7896">
        <w:t xml:space="preserve"> podobě ve formátu  </w:t>
      </w:r>
      <w:proofErr w:type="spellStart"/>
      <w:r w:rsidR="00CD1BFE" w:rsidRPr="00BF7896">
        <w:t>pdf</w:t>
      </w:r>
      <w:proofErr w:type="spellEnd"/>
      <w:r w:rsidR="00CD1BFE" w:rsidRPr="00BF7896">
        <w:t xml:space="preserve"> / …...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57BC6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</w:t>
      </w:r>
      <w:proofErr w:type="gramStart"/>
      <w:r w:rsidRPr="00216448">
        <w:t>do</w:t>
      </w:r>
      <w:proofErr w:type="gramEnd"/>
      <w:r w:rsidRPr="00216448">
        <w:t xml:space="preserve">: </w:t>
      </w:r>
      <w:r w:rsidR="00D60018">
        <w:t>24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</w:t>
      </w:r>
      <w:proofErr w:type="gramStart"/>
      <w:r w:rsidRPr="00216448">
        <w:t xml:space="preserve">do </w:t>
      </w:r>
      <w:r w:rsidR="00000D10">
        <w:t xml:space="preserve"> 3 dnů</w:t>
      </w:r>
      <w:proofErr w:type="gramEnd"/>
      <w:r w:rsidR="00000D10">
        <w:t xml:space="preserve"> od nahlášení vady</w:t>
      </w:r>
      <w:r w:rsidR="00DC6B06">
        <w:t xml:space="preserve"> Objednatelem Zhotoviteli</w:t>
      </w:r>
      <w:r w:rsidR="00000D10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FE1A76" w:rsidRDefault="00216448" w:rsidP="00216448">
      <w:pPr>
        <w:pStyle w:val="Odstavec2"/>
      </w:pPr>
      <w:r w:rsidRPr="00FE1A76">
        <w:t xml:space="preserve">Zhotovitel prohlašuje, že má ke dni podpisu Smlouvy platně </w:t>
      </w:r>
      <w:r w:rsidRPr="00FE1A76">
        <w:rPr>
          <w:iCs/>
        </w:rPr>
        <w:t>uzavřeno příslušné pojištění</w:t>
      </w:r>
    </w:p>
    <w:p w:rsidR="00216448" w:rsidRPr="00FE1A76" w:rsidRDefault="00216448" w:rsidP="00216448">
      <w:pPr>
        <w:pStyle w:val="Odstavec2"/>
        <w:numPr>
          <w:ilvl w:val="0"/>
          <w:numId w:val="32"/>
        </w:numPr>
      </w:pPr>
      <w:r w:rsidRPr="00FE1A76">
        <w:t xml:space="preserve">pro případ odpovědnosti za škodu způsobenou třetí osobě vzniklou v souvislosti s výkonem jeho podnikatelské činnosti s pojistným plněním ve výši min. </w:t>
      </w:r>
      <w:r w:rsidR="00657BC6" w:rsidRPr="00FE1A76">
        <w:t>1.000.000</w:t>
      </w:r>
      <w:r w:rsidRPr="00FE1A76">
        <w:t>- Kč.</w:t>
      </w:r>
    </w:p>
    <w:p w:rsidR="00216448" w:rsidRPr="00FE1A76" w:rsidRDefault="00216448" w:rsidP="00216448">
      <w:pPr>
        <w:pStyle w:val="Odstavec2"/>
        <w:numPr>
          <w:ilvl w:val="0"/>
          <w:numId w:val="32"/>
        </w:numPr>
      </w:pPr>
      <w:r w:rsidRPr="00FE1A76">
        <w:t xml:space="preserve">pro případ odpovědnosti za škodu na majetku s pojistným plněním ve výši min. </w:t>
      </w:r>
      <w:r w:rsidR="00657BC6" w:rsidRPr="00FE1A76">
        <w:t>1.000.000</w:t>
      </w:r>
      <w:r w:rsidRPr="00FE1A76">
        <w:t>,- Kč.</w:t>
      </w:r>
    </w:p>
    <w:p w:rsidR="00216448" w:rsidRPr="00FE1A76" w:rsidRDefault="00280022" w:rsidP="00280022">
      <w:pPr>
        <w:pStyle w:val="Odstavec2"/>
      </w:pPr>
      <w:r w:rsidRPr="00FE1A76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FE1A76" w:rsidRDefault="00280022" w:rsidP="00280022">
      <w:pPr>
        <w:pStyle w:val="Odstavec2"/>
      </w:pPr>
      <w:r w:rsidRPr="00FE1A76">
        <w:rPr>
          <w:iCs/>
        </w:rPr>
        <w:t>Nezajistí-li Zhotovitel nepřetržité trvání pojištění v dohodnutém rozsahu po dohodnutou dobu,</w:t>
      </w:r>
      <w:r w:rsidR="00DC6B06">
        <w:rPr>
          <w:iCs/>
        </w:rPr>
        <w:t xml:space="preserve"> tj. po dobu trvání této Smlouvy,</w:t>
      </w:r>
      <w:r w:rsidRPr="00FE1A76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Pr="00FE1A76" w:rsidRDefault="00280022" w:rsidP="00280022">
      <w:pPr>
        <w:pStyle w:val="lnek"/>
      </w:pPr>
      <w:r w:rsidRPr="00FE1A76">
        <w:t>Smluvní pokuty a úrok z prodlení</w:t>
      </w:r>
    </w:p>
    <w:p w:rsidR="00FE1A76" w:rsidRPr="00853B5B" w:rsidRDefault="00280022" w:rsidP="00280022">
      <w:pPr>
        <w:pStyle w:val="Odstavec2"/>
      </w:pPr>
      <w:r w:rsidRPr="00853B5B">
        <w:t xml:space="preserve">Smluvní strana je oprávněna v případě prodlení druhé Smluvní strany s úhradou peněžitého plnění požadovat úhradu úroku z prodlení v zákonné výši </w:t>
      </w:r>
      <w:r w:rsidR="00FE1A76" w:rsidRPr="00853B5B">
        <w:t>podle občanskoprávních předpisů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FE1A76" w:rsidRPr="00853B5B">
        <w:rPr>
          <w:bCs/>
        </w:rPr>
        <w:t>0,2</w:t>
      </w:r>
      <w:r w:rsidRPr="00853B5B">
        <w:rPr>
          <w:bCs/>
        </w:rPr>
        <w:t xml:space="preserve"> % z Ceny díla za každý i započatý den prodlení.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FE1A76" w:rsidRPr="00853B5B">
        <w:rPr>
          <w:bCs/>
        </w:rPr>
        <w:t>10.000</w:t>
      </w:r>
      <w:r w:rsidRPr="00853B5B">
        <w:rPr>
          <w:bCs/>
        </w:rPr>
        <w:t>,- Kč.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>Pokud</w:t>
      </w:r>
      <w:r w:rsidRPr="00853B5B">
        <w:t xml:space="preserve"> Zhotovitel neodstraní nedodělky či vady zjištěné při přejímacím řízení v dohodnutém termínu, je Objednatel oprávněn požadovat po Zhotoviteli úhradu smluvní pokuty </w:t>
      </w:r>
      <w:r w:rsidR="00FE1A76" w:rsidRPr="00853B5B">
        <w:t>1.000</w:t>
      </w:r>
      <w:r w:rsidRPr="00853B5B">
        <w:t>,- Kč za každý nedodělek či vadu a za každý den prodlení.</w:t>
      </w:r>
    </w:p>
    <w:p w:rsidR="00280022" w:rsidRPr="00853B5B" w:rsidRDefault="00280022" w:rsidP="00280022">
      <w:pPr>
        <w:pStyle w:val="Odstavec2"/>
      </w:pPr>
      <w:r w:rsidRPr="00853B5B">
        <w:t xml:space="preserve">Pokud Zhotovitel nevyklidí Staveniště ve sjednaném termínu, je Objednatel oprávněn požadovat po Zhotoviteli úhradu smluvní pokuty ve výši </w:t>
      </w:r>
      <w:r w:rsidR="00FE1A76" w:rsidRPr="00853B5B">
        <w:t>1.000</w:t>
      </w:r>
      <w:r w:rsidRPr="00853B5B">
        <w:t>,- Kč za každý i započatý den prodlení.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>Smluvní pokuta za neodstranění reklamovaných vad v záruční době</w:t>
      </w:r>
    </w:p>
    <w:p w:rsidR="00280022" w:rsidRPr="00853B5B" w:rsidRDefault="00280022" w:rsidP="00280022">
      <w:pPr>
        <w:pStyle w:val="Odstavec3"/>
      </w:pPr>
      <w:r w:rsidRPr="00853B5B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FE1A76" w:rsidRPr="00853B5B">
        <w:t>1.000</w:t>
      </w:r>
      <w:r w:rsidRPr="00853B5B">
        <w:t>,- Kč za každou vadu a den prodlení.</w:t>
      </w:r>
    </w:p>
    <w:p w:rsidR="00280022" w:rsidRPr="00853B5B" w:rsidRDefault="00280022" w:rsidP="00280022">
      <w:pPr>
        <w:pStyle w:val="Odstavec3"/>
      </w:pPr>
      <w:r w:rsidRPr="00853B5B">
        <w:lastRenderedPageBreak/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FE1A76" w:rsidRPr="00853B5B">
        <w:t>1.000</w:t>
      </w:r>
      <w:r w:rsidRPr="00853B5B">
        <w:t>,- Kč za každou oprávněnou reklamaci.</w:t>
      </w:r>
    </w:p>
    <w:p w:rsidR="00280022" w:rsidRPr="00853B5B" w:rsidRDefault="00655C3C" w:rsidP="00280022">
      <w:pPr>
        <w:pStyle w:val="Odstavec3"/>
      </w:pPr>
      <w:r w:rsidRPr="00853B5B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</w:t>
      </w:r>
      <w:r w:rsidRPr="00BF7896">
        <w:t xml:space="preserve">výši </w:t>
      </w:r>
      <w:r w:rsidR="00FE1A76" w:rsidRPr="00BF7896">
        <w:t>1.000</w:t>
      </w:r>
      <w:r w:rsidRPr="00BF7896">
        <w:t>,- Kč</w:t>
      </w:r>
      <w:r w:rsidRPr="00655C3C">
        <w:t xml:space="preserve"> za každý jednotlivý případ porušení. Porušení bude zaznamenáno ve Stavebním deníku oprávněným Zástupcem Objednatele.</w:t>
      </w:r>
    </w:p>
    <w:p w:rsidR="00655C3C" w:rsidRPr="00BF7896" w:rsidRDefault="00655C3C" w:rsidP="00655C3C">
      <w:pPr>
        <w:pStyle w:val="Odstavec2"/>
      </w:pPr>
      <w:r w:rsidRPr="00BF7896">
        <w:t xml:space="preserve">Zhotovitel se zavazuje provést a dokončit přípravné práce na Díle a jiné nezbytné práce spojené s přípravou místa plnění nejpozději 2 dny před zahájením odstávky. V případě porušení této povinnosti je Objednatel oprávněn odvolat odstávku (tj. pokračovat v provozu) s tím, že Zhotovitel je povinen zaplatit Objednateli smluvní pokutu ve výši </w:t>
      </w:r>
      <w:r w:rsidR="00BF7896" w:rsidRPr="00BF7896">
        <w:t>10.000</w:t>
      </w:r>
      <w:r w:rsidRPr="00BF7896">
        <w:t>,- Kč.</w:t>
      </w:r>
    </w:p>
    <w:p w:rsidR="00655C3C" w:rsidRPr="00BF7896" w:rsidRDefault="00655C3C" w:rsidP="00655C3C">
      <w:pPr>
        <w:pStyle w:val="Odstavec2"/>
      </w:pPr>
      <w:r w:rsidRPr="00BF7896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 </w:t>
      </w:r>
      <w:r w:rsidR="00BF7896" w:rsidRPr="00BF7896">
        <w:t>10.000</w:t>
      </w:r>
      <w:r w:rsidRPr="00BF7896">
        <w:t xml:space="preserve">,- Kč/den.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DC6B06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C6B06" w:rsidRPr="00655C3C" w:rsidRDefault="00DC6B06" w:rsidP="00DC6B06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21C7C" w:rsidRDefault="00BC323C" w:rsidP="00BC323C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8D2899">
        <w:t>S</w:t>
      </w:r>
      <w:r w:rsidRPr="00BC323C">
        <w:t xml:space="preserve">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</w:t>
      </w:r>
      <w:r w:rsidR="008D2899">
        <w:t>S</w:t>
      </w:r>
      <w:r w:rsidRPr="00BC323C">
        <w:t xml:space="preserve">mluvních stran včetně jejích zaměstnanců podle platných právních předpisů. Příslušná </w:t>
      </w:r>
      <w:r w:rsidR="008D2899"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 w:rsidR="008D2899">
        <w:t>S</w:t>
      </w:r>
      <w:r w:rsidRPr="00BC323C">
        <w:t xml:space="preserve">mlouvy. Etický kodex ČEPRO, a.s. je uveřejněn na adrese </w:t>
      </w:r>
      <w:hyperlink r:id="rId14" w:history="1">
        <w:r w:rsidRPr="00CD4EC2">
          <w:rPr>
            <w:rStyle w:val="Hypertextovodkaz"/>
          </w:rPr>
          <w:t>https://www.ceproas.cz/eticky-kodex</w:t>
        </w:r>
      </w:hyperlink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8D2899">
        <w:t>S</w:t>
      </w:r>
      <w:r w:rsidRPr="00BC323C">
        <w:t xml:space="preserve">mluvní strana povinna neprodleně oznámit druhé </w:t>
      </w:r>
      <w:r w:rsidR="008D2899">
        <w:t>S</w:t>
      </w:r>
      <w:r w:rsidRPr="00BC323C">
        <w:t>mluvní straně bez ohledu a nad rámec splnění případné zákonné oznamovací povinnosti.</w:t>
      </w:r>
    </w:p>
    <w:p w:rsidR="00621C7C" w:rsidRPr="00621C7C" w:rsidRDefault="00BC323C" w:rsidP="00BC323C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5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 w:rsidR="00621C7C">
        <w:t xml:space="preserve"> </w:t>
      </w:r>
    </w:p>
    <w:p w:rsidR="00655C3C" w:rsidRDefault="0021315A" w:rsidP="00655C3C">
      <w:pPr>
        <w:pStyle w:val="Odstavec2"/>
      </w:pPr>
      <w:r w:rsidRPr="00655C3C">
        <w:rPr>
          <w:iCs/>
        </w:rPr>
        <w:t xml:space="preserve">Smluvní strany se dohodly, že případná neplatnost některého z ustanovení této Smlouvy nezpůsobuje neplatnost celé Smlouvy a Smluvní strany se zavazují nahradit taková ustanovení </w:t>
      </w:r>
      <w:r w:rsidRPr="00655C3C">
        <w:rPr>
          <w:iCs/>
        </w:rPr>
        <w:lastRenderedPageBreak/>
        <w:t>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2E0183" w:rsidRDefault="00BA59A8" w:rsidP="00BA59A8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2E0183" w:rsidRDefault="00BA59A8" w:rsidP="00BA59A8">
      <w:pPr>
        <w:pStyle w:val="Odstavec2"/>
      </w:pPr>
      <w:r w:rsidRPr="002E0183">
        <w:t xml:space="preserve">Tato Smlouva byla </w:t>
      </w:r>
      <w:r w:rsidR="008D2899">
        <w:t>S</w:t>
      </w:r>
      <w:r w:rsidRPr="002E0183">
        <w:t xml:space="preserve">mluvními stranami podepsána ve čtyřech vyhotoveních, z nichž každá ze </w:t>
      </w:r>
      <w:r w:rsidR="008D2899"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D17CE0" w:rsidRPr="002E0183" w:rsidRDefault="00BA59A8" w:rsidP="00BA59A8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 w:rsidR="008D2899">
        <w:t>S</w:t>
      </w:r>
      <w:r w:rsidRPr="002E0183">
        <w:t>mluvními stranami</w:t>
      </w:r>
      <w:r w:rsidR="002E0183" w:rsidRPr="002E0183">
        <w:t>.</w:t>
      </w:r>
    </w:p>
    <w:p w:rsidR="001265C5" w:rsidRPr="002E0183" w:rsidRDefault="001265C5" w:rsidP="001265C5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6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CF7919" w:rsidRDefault="00CF7919" w:rsidP="00CF7919">
      <w:pPr>
        <w:pStyle w:val="Odstavec3"/>
      </w:pPr>
      <w:r>
        <w:t>Smluvní strany se dohodly, že čl.. 6.3 a čl. 6.7 se na vztah Smluvních stran založený touto Smlouvou neužije.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D61" w:rsidRDefault="001A7D61">
      <w:r>
        <w:separator/>
      </w:r>
    </w:p>
  </w:endnote>
  <w:endnote w:type="continuationSeparator" w:id="0">
    <w:p w:rsidR="001A7D61" w:rsidRDefault="001A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DB7861A" wp14:editId="54A047E5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</w:t>
    </w:r>
    <w:r w:rsidR="00971796">
      <w:t>8</w:t>
    </w:r>
    <w:r>
      <w:t xml:space="preserve"> </w:t>
    </w:r>
    <w:r w:rsidR="00971796">
      <w:t>22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980C06">
      <w:rPr>
        <w:rStyle w:val="slostrnky"/>
        <w:noProof/>
      </w:rPr>
      <w:t>4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980C06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D61" w:rsidRDefault="001A7D61">
      <w:r>
        <w:separator/>
      </w:r>
    </w:p>
  </w:footnote>
  <w:footnote w:type="continuationSeparator" w:id="0">
    <w:p w:rsidR="001A7D61" w:rsidRDefault="001A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9502D77"/>
    <w:multiLevelType w:val="multilevel"/>
    <w:tmpl w:val="CF72E7DA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6D62260A"/>
    <w:multiLevelType w:val="multilevel"/>
    <w:tmpl w:val="F7AAC7C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9C724F2"/>
    <w:multiLevelType w:val="multilevel"/>
    <w:tmpl w:val="024ED0B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7"/>
  </w:num>
  <w:num w:numId="8">
    <w:abstractNumId w:val="17"/>
  </w:num>
  <w:num w:numId="9">
    <w:abstractNumId w:val="13"/>
  </w:num>
  <w:num w:numId="10">
    <w:abstractNumId w:val="13"/>
  </w:num>
  <w:num w:numId="11">
    <w:abstractNumId w:val="13"/>
  </w:num>
  <w:num w:numId="12">
    <w:abstractNumId w:val="7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7"/>
  </w:num>
  <w:num w:numId="20">
    <w:abstractNumId w:val="13"/>
  </w:num>
  <w:num w:numId="21">
    <w:abstractNumId w:val="18"/>
  </w:num>
  <w:num w:numId="22">
    <w:abstractNumId w:val="3"/>
  </w:num>
  <w:num w:numId="23">
    <w:abstractNumId w:val="4"/>
  </w:num>
  <w:num w:numId="24">
    <w:abstractNumId w:val="13"/>
  </w:num>
  <w:num w:numId="25">
    <w:abstractNumId w:val="5"/>
  </w:num>
  <w:num w:numId="26">
    <w:abstractNumId w:val="8"/>
  </w:num>
  <w:num w:numId="27">
    <w:abstractNumId w:val="0"/>
  </w:num>
  <w:num w:numId="28">
    <w:abstractNumId w:val="15"/>
  </w:num>
  <w:num w:numId="29">
    <w:abstractNumId w:val="11"/>
  </w:num>
  <w:num w:numId="30">
    <w:abstractNumId w:val="6"/>
  </w:num>
  <w:num w:numId="31">
    <w:abstractNumId w:val="19"/>
  </w:num>
  <w:num w:numId="32">
    <w:abstractNumId w:val="2"/>
  </w:num>
  <w:num w:numId="33">
    <w:abstractNumId w:val="9"/>
  </w:num>
  <w:num w:numId="34">
    <w:abstractNumId w:val="1"/>
  </w:num>
  <w:num w:numId="35">
    <w:abstractNumId w:val="14"/>
  </w:num>
  <w:num w:numId="36">
    <w:abstractNumId w:val="16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1C"/>
    <w:rsid w:val="00000D10"/>
    <w:rsid w:val="00062B82"/>
    <w:rsid w:val="0007144A"/>
    <w:rsid w:val="000C04EF"/>
    <w:rsid w:val="000D19D8"/>
    <w:rsid w:val="000E5FC1"/>
    <w:rsid w:val="001265C5"/>
    <w:rsid w:val="001A7D61"/>
    <w:rsid w:val="001B28C5"/>
    <w:rsid w:val="001D03FC"/>
    <w:rsid w:val="001E2E3E"/>
    <w:rsid w:val="001E406E"/>
    <w:rsid w:val="001F1B25"/>
    <w:rsid w:val="001F325E"/>
    <w:rsid w:val="001F72CA"/>
    <w:rsid w:val="00204984"/>
    <w:rsid w:val="0021315A"/>
    <w:rsid w:val="00216448"/>
    <w:rsid w:val="00225234"/>
    <w:rsid w:val="00236D27"/>
    <w:rsid w:val="00245CA9"/>
    <w:rsid w:val="002525FB"/>
    <w:rsid w:val="00280022"/>
    <w:rsid w:val="002E0183"/>
    <w:rsid w:val="002E16FB"/>
    <w:rsid w:val="002E31F5"/>
    <w:rsid w:val="002F1B3A"/>
    <w:rsid w:val="002F6183"/>
    <w:rsid w:val="00316F94"/>
    <w:rsid w:val="0031724E"/>
    <w:rsid w:val="00363594"/>
    <w:rsid w:val="003A4FB3"/>
    <w:rsid w:val="003A7EC9"/>
    <w:rsid w:val="003B5D78"/>
    <w:rsid w:val="003C02F7"/>
    <w:rsid w:val="003C6E40"/>
    <w:rsid w:val="003E74EF"/>
    <w:rsid w:val="003F629A"/>
    <w:rsid w:val="00435D9F"/>
    <w:rsid w:val="0044501E"/>
    <w:rsid w:val="0045184E"/>
    <w:rsid w:val="0047514A"/>
    <w:rsid w:val="004812B9"/>
    <w:rsid w:val="0048481F"/>
    <w:rsid w:val="00492F27"/>
    <w:rsid w:val="00494CA6"/>
    <w:rsid w:val="004F5000"/>
    <w:rsid w:val="00521FE0"/>
    <w:rsid w:val="005555DE"/>
    <w:rsid w:val="005C5D01"/>
    <w:rsid w:val="005D1C50"/>
    <w:rsid w:val="00606DAC"/>
    <w:rsid w:val="00621C7C"/>
    <w:rsid w:val="00635D66"/>
    <w:rsid w:val="006406D3"/>
    <w:rsid w:val="00655C3C"/>
    <w:rsid w:val="00657BC6"/>
    <w:rsid w:val="006767D5"/>
    <w:rsid w:val="006857A4"/>
    <w:rsid w:val="006A0DA8"/>
    <w:rsid w:val="006C6F94"/>
    <w:rsid w:val="006F054D"/>
    <w:rsid w:val="006F2ABC"/>
    <w:rsid w:val="006F5596"/>
    <w:rsid w:val="00721C8A"/>
    <w:rsid w:val="007871E2"/>
    <w:rsid w:val="00790973"/>
    <w:rsid w:val="007A32CC"/>
    <w:rsid w:val="007B0C02"/>
    <w:rsid w:val="007B1761"/>
    <w:rsid w:val="007F3FC6"/>
    <w:rsid w:val="0080078B"/>
    <w:rsid w:val="0081118E"/>
    <w:rsid w:val="00847822"/>
    <w:rsid w:val="00853B5B"/>
    <w:rsid w:val="00861A29"/>
    <w:rsid w:val="00876F1B"/>
    <w:rsid w:val="008873F7"/>
    <w:rsid w:val="008A5C94"/>
    <w:rsid w:val="008C060C"/>
    <w:rsid w:val="008D2899"/>
    <w:rsid w:val="008F48B5"/>
    <w:rsid w:val="00971796"/>
    <w:rsid w:val="00980C06"/>
    <w:rsid w:val="00986F82"/>
    <w:rsid w:val="00994DF4"/>
    <w:rsid w:val="009A0F9B"/>
    <w:rsid w:val="009C6A0D"/>
    <w:rsid w:val="009E058F"/>
    <w:rsid w:val="00A71AB2"/>
    <w:rsid w:val="00AD47E0"/>
    <w:rsid w:val="00AE089D"/>
    <w:rsid w:val="00AE3CC7"/>
    <w:rsid w:val="00AF0A11"/>
    <w:rsid w:val="00AF68B0"/>
    <w:rsid w:val="00B20BE0"/>
    <w:rsid w:val="00B35620"/>
    <w:rsid w:val="00B61BC2"/>
    <w:rsid w:val="00B96459"/>
    <w:rsid w:val="00BA556D"/>
    <w:rsid w:val="00BA59A8"/>
    <w:rsid w:val="00BC323C"/>
    <w:rsid w:val="00BE18A9"/>
    <w:rsid w:val="00BE2E82"/>
    <w:rsid w:val="00BF7896"/>
    <w:rsid w:val="00C30D59"/>
    <w:rsid w:val="00C43689"/>
    <w:rsid w:val="00C82377"/>
    <w:rsid w:val="00C9453D"/>
    <w:rsid w:val="00C96234"/>
    <w:rsid w:val="00C962BE"/>
    <w:rsid w:val="00CC601C"/>
    <w:rsid w:val="00CD1BFE"/>
    <w:rsid w:val="00CF7919"/>
    <w:rsid w:val="00D16993"/>
    <w:rsid w:val="00D17CE0"/>
    <w:rsid w:val="00D2021C"/>
    <w:rsid w:val="00D20394"/>
    <w:rsid w:val="00D310AA"/>
    <w:rsid w:val="00D60018"/>
    <w:rsid w:val="00D600AD"/>
    <w:rsid w:val="00D95207"/>
    <w:rsid w:val="00DC6B06"/>
    <w:rsid w:val="00DD57F1"/>
    <w:rsid w:val="00DD6392"/>
    <w:rsid w:val="00E00091"/>
    <w:rsid w:val="00E03AB6"/>
    <w:rsid w:val="00E26075"/>
    <w:rsid w:val="00E322F9"/>
    <w:rsid w:val="00E55396"/>
    <w:rsid w:val="00E66C0B"/>
    <w:rsid w:val="00E76F6D"/>
    <w:rsid w:val="00E82850"/>
    <w:rsid w:val="00E852B7"/>
    <w:rsid w:val="00EA0733"/>
    <w:rsid w:val="00F27CC1"/>
    <w:rsid w:val="00FC188C"/>
    <w:rsid w:val="00FE1A76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A71AB2"/>
    <w:rPr>
      <w:rFonts w:ascii="Arial" w:hAnsi="Arial"/>
      <w:szCs w:val="24"/>
    </w:rPr>
  </w:style>
  <w:style w:type="paragraph" w:customStyle="1" w:styleId="02-ODST-2">
    <w:name w:val="02-ODST-2"/>
    <w:basedOn w:val="Normln"/>
    <w:qFormat/>
    <w:rsid w:val="006F054D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F054D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F054D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F054D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A71AB2"/>
    <w:rPr>
      <w:rFonts w:ascii="Arial" w:hAnsi="Arial"/>
      <w:szCs w:val="24"/>
    </w:rPr>
  </w:style>
  <w:style w:type="paragraph" w:customStyle="1" w:styleId="02-ODST-2">
    <w:name w:val="02-ODST-2"/>
    <w:basedOn w:val="Normln"/>
    <w:qFormat/>
    <w:rsid w:val="006F054D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F054D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F054D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F054D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pro_DF@ceproas.cz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etr.stara@ceproas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stara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vyberova-rizen&#237;" TargetMode="External"/><Relationship Id="rId10" Type="http://schemas.openxmlformats.org/officeDocument/2006/relationships/hyperlink" Target="mailto:petr.stara@ceproas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etr.stara@ceproas.cz" TargetMode="External"/><Relationship Id="rId14" Type="http://schemas.openxmlformats.org/officeDocument/2006/relationships/hyperlink" Target="https://www.ceproas.cz/eticky-kode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ata%20aplikac&#237;\Microsoft\&#352;ablony\Smlouvy\SOD%20M%202014%2008%2022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SOD M 2014 08 22</Template>
  <TotalTime>3</TotalTime>
  <Pages>1</Pages>
  <Words>2959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6</cp:revision>
  <cp:lastPrinted>2014-10-13T12:27:00Z</cp:lastPrinted>
  <dcterms:created xsi:type="dcterms:W3CDTF">2014-10-13T11:06:00Z</dcterms:created>
  <dcterms:modified xsi:type="dcterms:W3CDTF">2014-10-13T12:27:00Z</dcterms:modified>
</cp:coreProperties>
</file>